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37" w:rsidRDefault="00254C37" w:rsidP="0047708B">
      <w:pPr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512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A512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A75B9C" w:rsidRDefault="00254C37" w:rsidP="004770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512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ГЛАВЫ АТАМАНОВСКОГО СЕЛЬСКОГО ПОСЕЛЕНИЯ </w:t>
      </w:r>
    </w:p>
    <w:p w:rsidR="00254C37" w:rsidRPr="00A512BF" w:rsidRDefault="00254C37" w:rsidP="004770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512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ДАНИЛОВСКОГО МУНИЦИПАЛЬНОГО РАЙОНА</w:t>
      </w:r>
    </w:p>
    <w:p w:rsidR="00254C37" w:rsidRPr="00A512BF" w:rsidRDefault="00254C37" w:rsidP="0047708B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512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:rsidR="00254C37" w:rsidRPr="00A512BF" w:rsidRDefault="00254C37" w:rsidP="004770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C37" w:rsidRPr="00582C74" w:rsidRDefault="00254C37" w:rsidP="0047708B">
      <w:pPr>
        <w:rPr>
          <w:rFonts w:ascii="Arial" w:hAnsi="Arial" w:cs="Arial"/>
          <w:sz w:val="24"/>
          <w:szCs w:val="24"/>
        </w:rPr>
      </w:pPr>
      <w:r w:rsidRPr="00582C74">
        <w:rPr>
          <w:rFonts w:ascii="Arial" w:hAnsi="Arial" w:cs="Arial"/>
          <w:sz w:val="24"/>
          <w:szCs w:val="24"/>
        </w:rPr>
        <w:t xml:space="preserve">        от 20.02.2018 года         </w:t>
      </w:r>
    </w:p>
    <w:p w:rsidR="00254C37" w:rsidRPr="00582C74" w:rsidRDefault="00254C37" w:rsidP="0047708B">
      <w:pPr>
        <w:rPr>
          <w:rFonts w:ascii="Arial" w:hAnsi="Arial" w:cs="Arial"/>
          <w:sz w:val="24"/>
          <w:szCs w:val="24"/>
        </w:rPr>
      </w:pPr>
      <w:r w:rsidRPr="00582C74">
        <w:rPr>
          <w:rFonts w:ascii="Arial" w:hAnsi="Arial" w:cs="Arial"/>
          <w:sz w:val="24"/>
          <w:szCs w:val="24"/>
        </w:rPr>
        <w:t xml:space="preserve">                                                                № 14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Об утверждении Перечня первичных средств тушения пожаров и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 xml:space="preserve">противопожарного инвентаря и </w:t>
      </w:r>
      <w:proofErr w:type="gramStart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принятии</w:t>
      </w:r>
      <w:proofErr w:type="gramEnd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 xml:space="preserve"> мер по оснащению ими территорий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 xml:space="preserve">общего пользования населенных пунктов </w:t>
      </w:r>
      <w:proofErr w:type="spellStart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Атамановского</w:t>
      </w:r>
      <w:proofErr w:type="spellEnd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 xml:space="preserve">  сельского поселения Даниловского муниципального района Волгоградской области.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Во исполнение Федеральных законов от 06 октября 2003 года № 131-ФЗ «</w:t>
      </w:r>
      <w:proofErr w:type="gramStart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Об</w:t>
      </w:r>
      <w:proofErr w:type="gramEnd"/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 xml:space="preserve">общих принципах организации местного самоуправления </w:t>
      </w:r>
      <w:proofErr w:type="gramStart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в</w:t>
      </w:r>
      <w:proofErr w:type="gramEnd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 xml:space="preserve"> Российской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 xml:space="preserve">Федерации» и от 21 декабря 1994г. № 69-ФЗ «О пожарной безопасности» </w:t>
      </w:r>
      <w:proofErr w:type="gramStart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в</w:t>
      </w:r>
      <w:proofErr w:type="gramEnd"/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 xml:space="preserve">редакции Федерального закона от 18 октября 2007 года № 230 ФЗ «О внесении изменений в отдельные законодательные акты Российской Федерации в связи </w:t>
      </w:r>
      <w:proofErr w:type="gramStart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с</w:t>
      </w:r>
      <w:proofErr w:type="gramEnd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 xml:space="preserve"> совершенствованием разграничения полномочий», в целях обеспечения первичных мер пожарной безопасности, руководствуясь Уставом </w:t>
      </w:r>
      <w:proofErr w:type="spellStart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Атамановского</w:t>
      </w:r>
      <w:proofErr w:type="spellEnd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 xml:space="preserve"> сельского поселения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254C37" w:rsidRPr="00582C74" w:rsidRDefault="00254C37" w:rsidP="0047708B">
      <w:pPr>
        <w:spacing w:after="0"/>
        <w:rPr>
          <w:rFonts w:ascii="Arial" w:hAnsi="Arial" w:cs="Arial"/>
          <w:b/>
          <w:bCs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b/>
          <w:bCs/>
          <w:color w:val="2D2D2D"/>
          <w:sz w:val="24"/>
          <w:szCs w:val="24"/>
          <w:lang w:eastAsia="ru-RU"/>
        </w:rPr>
        <w:t>ПОСТАНОВЛЯЮ: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 xml:space="preserve">1. Утвердить перечень первичных средств пожаротушения и противопожарного инвентаря для мест общего пользования </w:t>
      </w:r>
      <w:proofErr w:type="gramStart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согласно приложения</w:t>
      </w:r>
      <w:proofErr w:type="gramEnd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 xml:space="preserve"> 1.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2. 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самоуправления.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2.1. Первичные средства тушения пожаров и противопожарный инвентарь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разместить на пожарных щитах с наружной стороны зданий и сооружений.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2.2. Обеспечить доступность первичных средств пожаротушения и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противопожарного инвентаря.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 xml:space="preserve">2.3. Первичные средства пожаротушения содержать в исправном состоянии </w:t>
      </w:r>
      <w:proofErr w:type="gramStart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в</w:t>
      </w:r>
      <w:proofErr w:type="gramEnd"/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proofErr w:type="gramStart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соответствии</w:t>
      </w:r>
      <w:proofErr w:type="gramEnd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 xml:space="preserve"> с паспортными данными на них. Не допускать использование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средств пожаротушения, не имеющих соответствующих сертификатов.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2.4. Не допускать использование первичных средств тушения пожаров и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противопожарного инвентаря не по назначению.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3. Руководителям предприятий, организаций и учреждений определить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 xml:space="preserve">лицо, ответственное за приобретение, ремонт, сохранность и готовность </w:t>
      </w:r>
      <w:proofErr w:type="gramStart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к</w:t>
      </w:r>
      <w:proofErr w:type="gramEnd"/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действию первичных средств пожаротушения и противопожарного инвентаря.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4. Постановление от 25.04.2008 № 19 «Об оснащении территорий общего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lastRenderedPageBreak/>
        <w:t xml:space="preserve">пользования первичными средствами тушения пожаров и </w:t>
      </w:r>
      <w:proofErr w:type="gramStart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противопожарным</w:t>
      </w:r>
      <w:proofErr w:type="gramEnd"/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инвентарём» считать утратившим силу.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5. Настоящее постановление обнародовать и разместить на официальном сайте администрации Атамановка  сельского поселения.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6. Постановление вступает в силу с момента подписания.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 xml:space="preserve">7. </w:t>
      </w:r>
      <w:proofErr w:type="gramStart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Контроль за</w:t>
      </w:r>
      <w:proofErr w:type="gramEnd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 xml:space="preserve">Глава </w:t>
      </w:r>
      <w:proofErr w:type="spellStart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Атамановкого</w:t>
      </w:r>
      <w:proofErr w:type="spellEnd"/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 xml:space="preserve"> сельского поселения                                                   </w:t>
      </w:r>
      <w:proofErr w:type="spellStart"/>
      <w:r w:rsidRPr="00582C74">
        <w:rPr>
          <w:rFonts w:ascii="Arial" w:hAnsi="Arial" w:cs="Arial"/>
          <w:color w:val="2D2D2D"/>
          <w:sz w:val="24"/>
          <w:szCs w:val="24"/>
          <w:lang w:eastAsia="ru-RU"/>
        </w:rPr>
        <w:t>А.Б.Гаврилов</w:t>
      </w:r>
      <w:proofErr w:type="spellEnd"/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254C37" w:rsidRPr="00582C74" w:rsidRDefault="00254C37" w:rsidP="0047708B">
      <w:pPr>
        <w:spacing w:after="0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spacing w:after="0"/>
        <w:jc w:val="right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Приложение 1к</w:t>
      </w:r>
    </w:p>
    <w:p w:rsidR="00254C37" w:rsidRPr="00A512BF" w:rsidRDefault="00254C37" w:rsidP="0047708B">
      <w:pPr>
        <w:spacing w:after="0"/>
        <w:jc w:val="right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постановлению</w:t>
      </w:r>
    </w:p>
    <w:p w:rsidR="00254C37" w:rsidRPr="00A512BF" w:rsidRDefault="00254C37" w:rsidP="0047708B">
      <w:pPr>
        <w:spacing w:after="0"/>
        <w:jc w:val="right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 xml:space="preserve">главы </w:t>
      </w:r>
      <w:proofErr w:type="spellStart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Атамановского</w:t>
      </w:r>
      <w:proofErr w:type="spellEnd"/>
    </w:p>
    <w:p w:rsidR="00254C37" w:rsidRPr="00A512BF" w:rsidRDefault="00254C37" w:rsidP="0047708B">
      <w:pPr>
        <w:spacing w:after="0"/>
        <w:jc w:val="right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сельского поселения</w:t>
      </w:r>
    </w:p>
    <w:p w:rsidR="00254C37" w:rsidRPr="00A512BF" w:rsidRDefault="00254C37" w:rsidP="0047708B">
      <w:pPr>
        <w:tabs>
          <w:tab w:val="right" w:pos="9355"/>
        </w:tabs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ab/>
        <w:t>от 20.02.2018 г. № 14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ПЕРЕЧЕНЬ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первичных средств пожаротушения</w:t>
      </w:r>
      <w:proofErr w:type="gramStart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 xml:space="preserve"> .</w:t>
      </w:r>
      <w:proofErr w:type="gramEnd"/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 xml:space="preserve">1. Населенные пункты сельского поселения не более 300 домовладений </w:t>
      </w:r>
      <w:proofErr w:type="gramStart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для</w:t>
      </w:r>
      <w:proofErr w:type="gramEnd"/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lastRenderedPageBreak/>
        <w:t>целей пожаротушения должны иметь переносную пожарную мотопомпу или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 xml:space="preserve">другую приспособленную технику, с количеством домовладений от 300 до 1000- прицепную пожарную мотопомпу или другую приспособленную </w:t>
      </w:r>
      <w:proofErr w:type="gramStart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для</w:t>
      </w:r>
      <w:proofErr w:type="gramEnd"/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пожаротушения технику, а с количеством свыше 1000 - не менее двух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proofErr w:type="gramStart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прицепных</w:t>
      </w:r>
      <w:proofErr w:type="gramEnd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 xml:space="preserve"> мотопомп или другую приспособленную для пожаротушения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технику. Пожарные мотопомпы и другая приспособленная для пожаротушения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техника должны находиться в исправном состоянии, быть укомплектованы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 xml:space="preserve">пожарно-техническим вооружением и </w:t>
      </w:r>
      <w:proofErr w:type="gramStart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заправлены</w:t>
      </w:r>
      <w:proofErr w:type="gramEnd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 xml:space="preserve"> топливом. За каждой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proofErr w:type="gramStart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пожарной</w:t>
      </w:r>
      <w:proofErr w:type="gramEnd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 xml:space="preserve"> мотопомпой и за другой приспособленной для пожаротушения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техникой должен быть закреплен специалист, прошедший обучение и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подготовку.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2. К местам размещения первичных средств пожаротушения и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 xml:space="preserve">противопожарного инвентаря на территориях общего пользования </w:t>
      </w:r>
      <w:proofErr w:type="spellStart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Атамановского</w:t>
      </w:r>
      <w:proofErr w:type="spellEnd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 xml:space="preserve"> сельского поселения о</w:t>
      </w:r>
      <w:r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тносятся – МКУ «</w:t>
      </w:r>
      <w:proofErr w:type="spellStart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Атамановский</w:t>
      </w:r>
      <w:proofErr w:type="spellEnd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 xml:space="preserve"> СДК</w:t>
      </w:r>
      <w:r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»</w:t>
      </w: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 xml:space="preserve">, </w:t>
      </w:r>
      <w:proofErr w:type="spellStart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Кувшиновский</w:t>
      </w:r>
      <w:proofErr w:type="spellEnd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 xml:space="preserve"> СДК, магазины, жилые дома, образовательные и лечебные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учреждения, места проведения массовых мероприятий</w:t>
      </w:r>
      <w:r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 xml:space="preserve">, социально-значимые </w:t>
      </w:r>
      <w:proofErr w:type="spellStart"/>
      <w:r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объкты</w:t>
      </w:r>
      <w:proofErr w:type="spellEnd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.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3. На каждой территории общего пользования должна быть установлена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емкость (бочка) с водой. Емкость для хранения воды должны иметь объем не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 xml:space="preserve">менее 0,2 </w:t>
      </w:r>
      <w:proofErr w:type="spellStart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куб.м</w:t>
      </w:r>
      <w:proofErr w:type="spellEnd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. и комплектоваться ведрами.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4. Пожарный щит необходимо укомплектовать из расчета: 1 лом, 1 багор, 2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ведра, 2 огнетушителя (объемом не менее 10 литров каждый), 1 лопата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proofErr w:type="gramStart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штыковая, 1 лопата совковая, 1 асбестовое полотно или войлок (кошма,</w:t>
      </w:r>
      <w:proofErr w:type="gramEnd"/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 xml:space="preserve">покрывало из негорючего материала), 1-2 емкости для хранения воды </w:t>
      </w:r>
      <w:proofErr w:type="spellStart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объемомне</w:t>
      </w:r>
      <w:proofErr w:type="spellEnd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 xml:space="preserve"> менее 0,2 </w:t>
      </w:r>
      <w:proofErr w:type="spellStart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куб.м</w:t>
      </w:r>
      <w:proofErr w:type="spellEnd"/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.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5. Объекты, расположенные на территории поселения, укомплектовываются</w:t>
      </w:r>
    </w:p>
    <w:p w:rsidR="00254C37" w:rsidRPr="00A512BF" w:rsidRDefault="00254C37" w:rsidP="0047708B">
      <w:pPr>
        <w:spacing w:after="0"/>
        <w:rPr>
          <w:rFonts w:ascii="TimesNewRomanPSMT" w:hAnsi="TimesNewRomanPSMT" w:cs="TimesNewRomanPSMT"/>
          <w:color w:val="2D2D2D"/>
          <w:sz w:val="28"/>
          <w:szCs w:val="28"/>
          <w:lang w:eastAsia="ru-RU"/>
        </w:rPr>
      </w:pPr>
      <w:r w:rsidRPr="00A512BF">
        <w:rPr>
          <w:rFonts w:ascii="TimesNewRomanPSMT" w:hAnsi="TimesNewRomanPSMT" w:cs="TimesNewRomanPSMT"/>
          <w:color w:val="2D2D2D"/>
          <w:sz w:val="28"/>
          <w:szCs w:val="28"/>
          <w:lang w:eastAsia="ru-RU"/>
        </w:rPr>
        <w:t>первичными средствами пожаротушения в соответствии с действующими нормами и правилами пожарной безопасности.</w:t>
      </w:r>
    </w:p>
    <w:p w:rsidR="00254C37" w:rsidRDefault="00254C37"/>
    <w:sectPr w:rsidR="00254C37" w:rsidSect="00D8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6B7"/>
    <w:rsid w:val="00004B37"/>
    <w:rsid w:val="00042E70"/>
    <w:rsid w:val="000612DC"/>
    <w:rsid w:val="00074D12"/>
    <w:rsid w:val="000C1AF4"/>
    <w:rsid w:val="000F52C1"/>
    <w:rsid w:val="000F7D89"/>
    <w:rsid w:val="00100517"/>
    <w:rsid w:val="00120C12"/>
    <w:rsid w:val="00132D4D"/>
    <w:rsid w:val="001361EC"/>
    <w:rsid w:val="0014359E"/>
    <w:rsid w:val="001463D3"/>
    <w:rsid w:val="001605B0"/>
    <w:rsid w:val="001677D9"/>
    <w:rsid w:val="0017261F"/>
    <w:rsid w:val="00187CA7"/>
    <w:rsid w:val="00196EF6"/>
    <w:rsid w:val="001A128F"/>
    <w:rsid w:val="001A5560"/>
    <w:rsid w:val="001A6FD7"/>
    <w:rsid w:val="001A7D2B"/>
    <w:rsid w:val="001C4524"/>
    <w:rsid w:val="001C5B49"/>
    <w:rsid w:val="001C7B83"/>
    <w:rsid w:val="001D2D7D"/>
    <w:rsid w:val="00210A8E"/>
    <w:rsid w:val="00216CD8"/>
    <w:rsid w:val="002204E9"/>
    <w:rsid w:val="00230143"/>
    <w:rsid w:val="0023136D"/>
    <w:rsid w:val="00232325"/>
    <w:rsid w:val="00240052"/>
    <w:rsid w:val="00242E75"/>
    <w:rsid w:val="002516DF"/>
    <w:rsid w:val="00254C37"/>
    <w:rsid w:val="00254E33"/>
    <w:rsid w:val="00267D7F"/>
    <w:rsid w:val="00286E30"/>
    <w:rsid w:val="002A7825"/>
    <w:rsid w:val="002E6919"/>
    <w:rsid w:val="002E798B"/>
    <w:rsid w:val="002F2C75"/>
    <w:rsid w:val="00304984"/>
    <w:rsid w:val="0032220E"/>
    <w:rsid w:val="00323F8A"/>
    <w:rsid w:val="003325FA"/>
    <w:rsid w:val="00337206"/>
    <w:rsid w:val="00340814"/>
    <w:rsid w:val="00342395"/>
    <w:rsid w:val="00377E2E"/>
    <w:rsid w:val="0038146A"/>
    <w:rsid w:val="003940D3"/>
    <w:rsid w:val="00395875"/>
    <w:rsid w:val="003E5339"/>
    <w:rsid w:val="00403B4B"/>
    <w:rsid w:val="00422DDD"/>
    <w:rsid w:val="00430436"/>
    <w:rsid w:val="004304AB"/>
    <w:rsid w:val="0044297F"/>
    <w:rsid w:val="00466984"/>
    <w:rsid w:val="00474816"/>
    <w:rsid w:val="0047708B"/>
    <w:rsid w:val="004776B7"/>
    <w:rsid w:val="004A7A67"/>
    <w:rsid w:val="004C0907"/>
    <w:rsid w:val="004C4C3D"/>
    <w:rsid w:val="00562DC2"/>
    <w:rsid w:val="00574E8A"/>
    <w:rsid w:val="0058016B"/>
    <w:rsid w:val="00582C74"/>
    <w:rsid w:val="00584239"/>
    <w:rsid w:val="00591EE4"/>
    <w:rsid w:val="005A64D0"/>
    <w:rsid w:val="005B072A"/>
    <w:rsid w:val="005B431C"/>
    <w:rsid w:val="005C3B5E"/>
    <w:rsid w:val="005C6F6A"/>
    <w:rsid w:val="005C78F9"/>
    <w:rsid w:val="005D0AD3"/>
    <w:rsid w:val="005F5215"/>
    <w:rsid w:val="006050E6"/>
    <w:rsid w:val="006118CC"/>
    <w:rsid w:val="006233E6"/>
    <w:rsid w:val="00626DEC"/>
    <w:rsid w:val="00686124"/>
    <w:rsid w:val="00695162"/>
    <w:rsid w:val="006B663B"/>
    <w:rsid w:val="006E5584"/>
    <w:rsid w:val="006F08A5"/>
    <w:rsid w:val="007010AD"/>
    <w:rsid w:val="00702E05"/>
    <w:rsid w:val="0071121F"/>
    <w:rsid w:val="00740215"/>
    <w:rsid w:val="0077553D"/>
    <w:rsid w:val="00795D77"/>
    <w:rsid w:val="00796AD2"/>
    <w:rsid w:val="00797608"/>
    <w:rsid w:val="007B43C3"/>
    <w:rsid w:val="007C095E"/>
    <w:rsid w:val="007D2221"/>
    <w:rsid w:val="007D30AC"/>
    <w:rsid w:val="007F24D6"/>
    <w:rsid w:val="00801FE2"/>
    <w:rsid w:val="00824823"/>
    <w:rsid w:val="008311D0"/>
    <w:rsid w:val="008570C6"/>
    <w:rsid w:val="00857319"/>
    <w:rsid w:val="008732CF"/>
    <w:rsid w:val="00881FA8"/>
    <w:rsid w:val="00886DA8"/>
    <w:rsid w:val="008B36F6"/>
    <w:rsid w:val="008D3118"/>
    <w:rsid w:val="008D51DC"/>
    <w:rsid w:val="008E247E"/>
    <w:rsid w:val="00904CC5"/>
    <w:rsid w:val="00911C8E"/>
    <w:rsid w:val="0091698D"/>
    <w:rsid w:val="00922143"/>
    <w:rsid w:val="00925476"/>
    <w:rsid w:val="009417BB"/>
    <w:rsid w:val="00951B98"/>
    <w:rsid w:val="0095375B"/>
    <w:rsid w:val="00973BD7"/>
    <w:rsid w:val="009751D6"/>
    <w:rsid w:val="00982681"/>
    <w:rsid w:val="009918E8"/>
    <w:rsid w:val="00995A99"/>
    <w:rsid w:val="0099749D"/>
    <w:rsid w:val="009A257D"/>
    <w:rsid w:val="009B3EB2"/>
    <w:rsid w:val="009C1DA5"/>
    <w:rsid w:val="009C5E56"/>
    <w:rsid w:val="009C645D"/>
    <w:rsid w:val="009E5A13"/>
    <w:rsid w:val="009F4FD3"/>
    <w:rsid w:val="00A00E88"/>
    <w:rsid w:val="00A512BF"/>
    <w:rsid w:val="00A5163C"/>
    <w:rsid w:val="00A75B9C"/>
    <w:rsid w:val="00A90CC0"/>
    <w:rsid w:val="00A97FB2"/>
    <w:rsid w:val="00AC58C4"/>
    <w:rsid w:val="00AC7193"/>
    <w:rsid w:val="00AE54DC"/>
    <w:rsid w:val="00AF6755"/>
    <w:rsid w:val="00B00780"/>
    <w:rsid w:val="00B23A42"/>
    <w:rsid w:val="00B25D90"/>
    <w:rsid w:val="00B45DD8"/>
    <w:rsid w:val="00B46130"/>
    <w:rsid w:val="00B60418"/>
    <w:rsid w:val="00B76F98"/>
    <w:rsid w:val="00B8177C"/>
    <w:rsid w:val="00B8284D"/>
    <w:rsid w:val="00B85F67"/>
    <w:rsid w:val="00B969B3"/>
    <w:rsid w:val="00BB6E28"/>
    <w:rsid w:val="00BC1123"/>
    <w:rsid w:val="00BD5012"/>
    <w:rsid w:val="00BF007D"/>
    <w:rsid w:val="00BF1435"/>
    <w:rsid w:val="00BF7953"/>
    <w:rsid w:val="00C056C8"/>
    <w:rsid w:val="00C05865"/>
    <w:rsid w:val="00C14BFF"/>
    <w:rsid w:val="00C34D61"/>
    <w:rsid w:val="00C355DC"/>
    <w:rsid w:val="00C522AC"/>
    <w:rsid w:val="00C62795"/>
    <w:rsid w:val="00C64978"/>
    <w:rsid w:val="00C74991"/>
    <w:rsid w:val="00C817DB"/>
    <w:rsid w:val="00C81EFC"/>
    <w:rsid w:val="00C82C4F"/>
    <w:rsid w:val="00C91578"/>
    <w:rsid w:val="00CA0026"/>
    <w:rsid w:val="00CC6FFF"/>
    <w:rsid w:val="00CD720D"/>
    <w:rsid w:val="00CF48E1"/>
    <w:rsid w:val="00D03DBA"/>
    <w:rsid w:val="00D062E1"/>
    <w:rsid w:val="00D14572"/>
    <w:rsid w:val="00D164CD"/>
    <w:rsid w:val="00D323CB"/>
    <w:rsid w:val="00D449D5"/>
    <w:rsid w:val="00D61039"/>
    <w:rsid w:val="00D61533"/>
    <w:rsid w:val="00D61C65"/>
    <w:rsid w:val="00D87424"/>
    <w:rsid w:val="00DA33F4"/>
    <w:rsid w:val="00DA6BAD"/>
    <w:rsid w:val="00DD1575"/>
    <w:rsid w:val="00DD75B3"/>
    <w:rsid w:val="00DE0EB8"/>
    <w:rsid w:val="00DE6749"/>
    <w:rsid w:val="00E02054"/>
    <w:rsid w:val="00E23A07"/>
    <w:rsid w:val="00E37B1B"/>
    <w:rsid w:val="00E57469"/>
    <w:rsid w:val="00E74A3B"/>
    <w:rsid w:val="00E77A5D"/>
    <w:rsid w:val="00E833D8"/>
    <w:rsid w:val="00E84087"/>
    <w:rsid w:val="00EA6EE3"/>
    <w:rsid w:val="00EC2C8B"/>
    <w:rsid w:val="00EE27FF"/>
    <w:rsid w:val="00F159C3"/>
    <w:rsid w:val="00F40B51"/>
    <w:rsid w:val="00F7000B"/>
    <w:rsid w:val="00F7502A"/>
    <w:rsid w:val="00F81738"/>
    <w:rsid w:val="00F944ED"/>
    <w:rsid w:val="00FE1046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8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75B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км</cp:lastModifiedBy>
  <cp:revision>5</cp:revision>
  <cp:lastPrinted>2023-04-05T07:17:00Z</cp:lastPrinted>
  <dcterms:created xsi:type="dcterms:W3CDTF">2018-02-27T07:19:00Z</dcterms:created>
  <dcterms:modified xsi:type="dcterms:W3CDTF">2023-04-05T07:18:00Z</dcterms:modified>
</cp:coreProperties>
</file>